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b/>
        </w:rPr>
        <w:t>Subprocessors</w:t>
      </w:r>
    </w:p>
    <w:p>
      <w:r>
        <w:rPr>
          <w:i/>
          <w:sz w:val="19"/>
        </w:rPr>
        <w:t>Last updated: September 30, 2026</w:t>
      </w:r>
    </w:p>
    <w:p>
      <w:pPr>
        <w:pStyle w:val="Heading1"/>
      </w:pPr>
      <w:r>
        <w:t>Overview</w:t>
      </w:r>
    </w:p>
    <w:p>
      <w:r>
        <w:t>Quantum AI Strategy Group LLC ("QAISG") uses selected third-party service providers to support the operation and delivery of its products and services.</w:t>
      </w:r>
    </w:p>
    <w:p>
      <w:r>
        <w:t>A subprocessor is a third party that may process customer personal data on behalf of QAISG in connection with providing a QAISG service.</w:t>
      </w:r>
    </w:p>
    <w:p>
      <w:r>
        <w:t>The subprocessors used may vary by product, service, deployment, and customer configuration.</w:t>
      </w:r>
    </w:p>
    <w:p>
      <w:pPr>
        <w:pStyle w:val="Heading1"/>
      </w:pPr>
      <w:r>
        <w:t>Current subprocessors</w:t>
      </w:r>
    </w:p>
    <w:p>
      <w:pPr>
        <w:pStyle w:val="Heading1"/>
      </w:pPr>
      <w:r>
        <w:t>Render</w:t>
      </w:r>
    </w:p>
    <w:p>
      <w:r>
        <w:t>Purpose: Cloud application hosting, managed database services, infrastructure, and related platform operations.</w:t>
      </w:r>
    </w:p>
    <w:p>
      <w:r>
        <w:t>Render may process or host customer information required to operate applicable QAISG cloud services.</w:t>
      </w:r>
    </w:p>
    <w:p>
      <w:pPr>
        <w:pStyle w:val="Heading1"/>
      </w:pPr>
      <w:r>
        <w:t>Cloudflare</w:t>
      </w:r>
    </w:p>
    <w:p>
      <w:r>
        <w:t>Purpose: Network edge security, content delivery, DDoS mitigation, web application protection, traffic filtering, and related security services.</w:t>
      </w:r>
    </w:p>
    <w:p>
      <w:r>
        <w:t>Cloudflare may process network and request information necessary to provide these services.</w:t>
      </w:r>
    </w:p>
    <w:p>
      <w:pPr>
        <w:pStyle w:val="Heading1"/>
      </w:pPr>
      <w:r>
        <w:t>Resend</w:t>
      </w:r>
    </w:p>
    <w:p>
      <w:r>
        <w:t>Purpose: Transactional email delivery and related messaging services.</w:t>
      </w:r>
    </w:p>
    <w:p>
      <w:r>
        <w:t>Resend may process email addresses and message-delivery information necessary to send service-related communications.</w:t>
      </w:r>
    </w:p>
    <w:p>
      <w:pPr>
        <w:pStyle w:val="Heading1"/>
      </w:pPr>
      <w:r>
        <w:t>Anthropic</w:t>
      </w:r>
    </w:p>
    <w:p>
      <w:r>
        <w:t>Purpose: Artificial-intelligence-assisted functionality used in certain optional QAISG product features.</w:t>
      </w:r>
    </w:p>
    <w:p>
      <w:r>
        <w:t>Where Anthropic services are used, QAISG seeks to minimize the information transmitted and limit processing to what is reasonably necessary for the applicable function.</w:t>
      </w:r>
    </w:p>
    <w:p>
      <w:r>
        <w:t>Not all QAISG products or customers use Anthropic-enabled functionality.</w:t>
      </w:r>
    </w:p>
    <w:p>
      <w:pPr>
        <w:pStyle w:val="Heading1"/>
      </w:pPr>
      <w:r>
        <w:t>Use of subprocessors</w:t>
      </w:r>
    </w:p>
    <w:p>
      <w:r>
        <w:t>QAISG selects service providers based on factors including:</w:t>
      </w:r>
    </w:p>
    <w:p>
      <w:pPr>
        <w:pStyle w:val="ListBullet"/>
      </w:pPr>
      <w:r>
        <w:t>Security capabilities.</w:t>
      </w:r>
    </w:p>
    <w:p>
      <w:pPr>
        <w:pStyle w:val="ListBullet"/>
      </w:pPr>
      <w:r>
        <w:t>Privacy and data-protection practices.</w:t>
      </w:r>
    </w:p>
    <w:p>
      <w:pPr>
        <w:pStyle w:val="ListBullet"/>
      </w:pPr>
      <w:r>
        <w:t>Reliability and operational requirements.</w:t>
      </w:r>
    </w:p>
    <w:p>
      <w:pPr>
        <w:pStyle w:val="ListBullet"/>
      </w:pPr>
      <w:r>
        <w:t>Contractual protections.</w:t>
      </w:r>
    </w:p>
    <w:p>
      <w:pPr>
        <w:pStyle w:val="ListBullet"/>
      </w:pPr>
      <w:r>
        <w:t>Applicable certifications and assurance information.</w:t>
      </w:r>
    </w:p>
    <w:p>
      <w:pPr>
        <w:pStyle w:val="ListBullet"/>
      </w:pPr>
      <w:r>
        <w:t>The type and sensitivity of information being processed.</w:t>
      </w:r>
    </w:p>
    <w:p>
      <w:r>
        <w:t>Subprocessors are authorized to process customer information only as necessary to provide the contracted service to QAISG and are subject to applicable contractual and security requirements.</w:t>
      </w:r>
    </w:p>
    <w:p>
      <w:pPr>
        <w:pStyle w:val="Heading1"/>
      </w:pPr>
      <w:r>
        <w:t>Product-specific applicability</w:t>
      </w:r>
    </w:p>
    <w:p>
      <w:r>
        <w:t>Not every subprocessor listed above is used by every QAISG product.</w:t>
      </w:r>
    </w:p>
    <w:p>
      <w:r>
        <w:t>The specific subprocessors applicable to a customer may depend on:</w:t>
      </w:r>
    </w:p>
    <w:p>
      <w:pPr>
        <w:pStyle w:val="ListBullet"/>
      </w:pPr>
      <w:r>
        <w:t>The QAISG product or service being used.</w:t>
      </w:r>
    </w:p>
    <w:p>
      <w:pPr>
        <w:pStyle w:val="ListBullet"/>
      </w:pPr>
      <w:r>
        <w:t>Features enabled by the customer.</w:t>
      </w:r>
    </w:p>
    <w:p>
      <w:pPr>
        <w:pStyle w:val="ListBullet"/>
      </w:pPr>
      <w:r>
        <w:t>Integration or configuration choices.</w:t>
      </w:r>
    </w:p>
    <w:p>
      <w:pPr>
        <w:pStyle w:val="ListBullet"/>
      </w:pPr>
      <w:r>
        <w:t>Hosting and infrastructure requirements.</w:t>
      </w:r>
    </w:p>
    <w:p>
      <w:r>
        <w:t>Additional product-specific information may be provided in customer agreements, data-processing agreements, or product documentation.</w:t>
      </w:r>
    </w:p>
    <w:p>
      <w:pPr>
        <w:pStyle w:val="Heading1"/>
      </w:pPr>
      <w:r>
        <w:t>Changes to subprocessors</w:t>
      </w:r>
    </w:p>
    <w:p>
      <w:r>
        <w:t>QAISG may add, replace, or remove subprocessors as its products and infrastructure evolve.</w:t>
      </w:r>
    </w:p>
    <w:p>
      <w:r>
        <w:t>Material changes will be reflected by updating this page and the Last updated date.</w:t>
      </w:r>
    </w:p>
    <w:p>
      <w:r>
        <w:t>Where required by an applicable agreement or data-processing addendum, QAISG will provide notice of new subprocessors in accordance with that agreement.</w:t>
      </w:r>
    </w:p>
    <w:p>
      <w:pPr>
        <w:pStyle w:val="Heading1"/>
      </w:pPr>
      <w:r>
        <w:t>Related documentation</w:t>
      </w:r>
    </w:p>
    <w:p>
      <w:r>
        <w:t>Additional information regarding QAISG's use of service providers and protection of customer information is available in the:</w:t>
      </w:r>
    </w:p>
    <w:p>
      <w:pPr>
        <w:pStyle w:val="ListBullet"/>
      </w:pPr>
      <w:r>
        <w:t>QAISG Privacy Notice.</w:t>
      </w:r>
    </w:p>
    <w:p>
      <w:pPr>
        <w:pStyle w:val="ListBullet"/>
      </w:pPr>
      <w:r>
        <w:t>QAISG Security Overview.</w:t>
      </w:r>
    </w:p>
    <w:p>
      <w:pPr>
        <w:pStyle w:val="ListBullet"/>
      </w:pPr>
      <w:r>
        <w:t>Applicable product documentation and customer agreements.</w:t>
      </w:r>
    </w:p>
    <w:p>
      <w:pPr>
        <w:pStyle w:val="Heading1"/>
      </w:pPr>
      <w:r>
        <w:t>Contact</w:t>
      </w:r>
    </w:p>
    <w:p>
      <w:r>
        <w:t>Questions regarding QAISG subprocessors or data-processing practices may be directed to:</w:t>
      </w:r>
    </w:p>
    <w:p>
      <w:r>
        <w:t>Quantum AI Strategy Group LLC</w:t>
        <w:br/>
        <w:t>Email: privacy@qaisg.com</w:t>
        <w:br/>
        <w:t>Website: qaisg.com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Quantum AI Strategy Group LLC | qaisg.com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