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Security at Quantum AI Strategy Group</w:t>
      </w:r>
    </w:p>
    <w:p>
      <w:pPr>
        <w:jc w:val="left"/>
      </w:pPr>
      <w:r>
        <w:rPr>
          <w:b/>
          <w:color w:val="666666"/>
          <w:sz w:val="19"/>
        </w:rPr>
        <w:t>Last updated: September 30, 2026</w:t>
      </w:r>
    </w:p>
    <w:p>
      <w:r>
        <w:t>Quantum AI Strategy Group LLC ("QAISG") develops software platforms and provides advisory services focused on artificial intelligence governance, cybersecurity, compliance, technology strategy, and emerging technologies.</w:t>
      </w:r>
    </w:p>
    <w:p>
      <w:r>
        <w:t>Security, privacy, and responsible data handling are fundamental to how we design, operate, and support our products and services.</w:t>
      </w:r>
    </w:p>
    <w:p>
      <w:r>
        <w:t>This page provides an overview of QAISG's security approach. Specific products may have additional security controls, architectures, data-handling practices, and documentation appropriate to their functionality.</w:t>
      </w:r>
    </w:p>
    <w:p>
      <w:r>
        <w:t>Customers and qualified prospects may request additional security and assurance documentation, subject to applicable confidentiality requirements.</w:t>
      </w:r>
    </w:p>
    <w:p>
      <w:pPr>
        <w:pStyle w:val="Heading1"/>
      </w:pPr>
      <w:r>
        <w:t>Security by design</w:t>
      </w:r>
    </w:p>
    <w:p>
      <w:r>
        <w:t>QAISG incorporates security into the architecture, development, deployment, and operation of its technology platforms.</w:t>
      </w:r>
    </w:p>
    <w:p>
      <w:pPr>
        <w:pStyle w:val="ListBullet"/>
        <w:ind w:left="317" w:hanging="173"/>
      </w:pPr>
      <w:r>
        <w:t>Least-privilege access.</w:t>
      </w:r>
    </w:p>
    <w:p>
      <w:pPr>
        <w:pStyle w:val="ListBullet"/>
        <w:ind w:left="317" w:hanging="173"/>
      </w:pPr>
      <w:r>
        <w:t>Defense in depth.</w:t>
      </w:r>
    </w:p>
    <w:p>
      <w:pPr>
        <w:pStyle w:val="ListBullet"/>
        <w:ind w:left="317" w:hanging="173"/>
      </w:pPr>
      <w:r>
        <w:t>Data minimization.</w:t>
      </w:r>
    </w:p>
    <w:p>
      <w:pPr>
        <w:pStyle w:val="ListBullet"/>
        <w:ind w:left="317" w:hanging="173"/>
      </w:pPr>
      <w:r>
        <w:t>Logical separation of customer environments.</w:t>
      </w:r>
    </w:p>
    <w:p>
      <w:pPr>
        <w:pStyle w:val="ListBullet"/>
        <w:ind w:left="317" w:hanging="173"/>
      </w:pPr>
      <w:r>
        <w:t>Secure authentication and authorization.</w:t>
      </w:r>
    </w:p>
    <w:p>
      <w:pPr>
        <w:pStyle w:val="ListBullet"/>
        <w:ind w:left="317" w:hanging="173"/>
      </w:pPr>
      <w:r>
        <w:t>Encryption of sensitive information.</w:t>
      </w:r>
    </w:p>
    <w:p>
      <w:pPr>
        <w:pStyle w:val="ListBullet"/>
        <w:ind w:left="317" w:hanging="173"/>
      </w:pPr>
      <w:r>
        <w:t>Auditable administrative access.</w:t>
      </w:r>
    </w:p>
    <w:p>
      <w:pPr>
        <w:pStyle w:val="ListBullet"/>
        <w:ind w:left="317" w:hanging="173"/>
      </w:pPr>
      <w:r>
        <w:t>Secure software development practices.</w:t>
      </w:r>
    </w:p>
    <w:p>
      <w:pPr>
        <w:pStyle w:val="ListBullet"/>
        <w:ind w:left="317" w:hanging="173"/>
      </w:pPr>
      <w:r>
        <w:t>Continuous monitoring and improvement.</w:t>
      </w:r>
    </w:p>
    <w:p>
      <w:pPr>
        <w:pStyle w:val="ListBullet"/>
        <w:ind w:left="317" w:hanging="173"/>
      </w:pPr>
      <w:r>
        <w:t>Risk-based security controls appropriate to the information being processed.</w:t>
      </w:r>
    </w:p>
    <w:p>
      <w:r>
        <w:t>Security requirements may vary by product, deployment model, customer requirements, and applicable regulatory obligations.</w:t>
      </w:r>
    </w:p>
    <w:p>
      <w:pPr>
        <w:pStyle w:val="Heading1"/>
      </w:pPr>
      <w:r>
        <w:t>Architecture and customer isolation</w:t>
      </w:r>
    </w:p>
    <w:p>
      <w:r>
        <w:t>QAISG-hosted products are designed to maintain separation between customer environments.</w:t>
      </w:r>
    </w:p>
    <w:p>
      <w:r>
        <w:t>Where services use multi-tenant architectures, customer information is logically isolated using application and data-access controls designed to prevent one customer from accessing another customer's information. Access to customer-scoped information is restricted based on authenticated identity, authorization, tenant context, and applicable application permissions. Certain QAISG products may employ additional isolation, sovereign-data, or customer-specific controls as described in their applicable product documentation.</w:t>
      </w:r>
    </w:p>
    <w:p>
      <w:pPr>
        <w:pStyle w:val="Heading1"/>
      </w:pPr>
      <w:r>
        <w:t>Network and edge security</w:t>
      </w:r>
    </w:p>
    <w:p>
      <w:r>
        <w:t>QAISG uses layered network, application, and infrastructure protections designed to reduce exposure to malicious or unauthorized activity.</w:t>
      </w:r>
    </w:p>
    <w:p>
      <w:pPr>
        <w:pStyle w:val="ListBullet"/>
        <w:ind w:left="317" w:hanging="173"/>
      </w:pPr>
      <w:r>
        <w:t>Distributed denial-of-service protection.</w:t>
      </w:r>
    </w:p>
    <w:p>
      <w:pPr>
        <w:pStyle w:val="ListBullet"/>
        <w:ind w:left="317" w:hanging="173"/>
      </w:pPr>
      <w:r>
        <w:t>Web application firewall capabilities.</w:t>
      </w:r>
    </w:p>
    <w:p>
      <w:pPr>
        <w:pStyle w:val="ListBullet"/>
        <w:ind w:left="317" w:hanging="173"/>
      </w:pPr>
      <w:r>
        <w:t>Malicious-request filtering.</w:t>
      </w:r>
    </w:p>
    <w:p>
      <w:pPr>
        <w:pStyle w:val="ListBullet"/>
        <w:ind w:left="317" w:hanging="173"/>
      </w:pPr>
      <w:r>
        <w:t>Rate limiting.</w:t>
      </w:r>
    </w:p>
    <w:p>
      <w:pPr>
        <w:pStyle w:val="ListBullet"/>
        <w:ind w:left="317" w:hanging="173"/>
      </w:pPr>
      <w:r>
        <w:t>Automated-abuse and bot protections.</w:t>
      </w:r>
    </w:p>
    <w:p>
      <w:pPr>
        <w:pStyle w:val="ListBullet"/>
        <w:ind w:left="317" w:hanging="173"/>
      </w:pPr>
      <w:r>
        <w:t>TLS encryption.</w:t>
      </w:r>
    </w:p>
    <w:p>
      <w:pPr>
        <w:pStyle w:val="ListBullet"/>
        <w:ind w:left="317" w:hanging="173"/>
      </w:pPr>
      <w:r>
        <w:t>Network and application security monitoring.</w:t>
      </w:r>
    </w:p>
    <w:p>
      <w:pPr>
        <w:pStyle w:val="ListBullet"/>
        <w:ind w:left="317" w:hanging="173"/>
      </w:pPr>
      <w:r>
        <w:t>Infrastructure access restrictions.</w:t>
      </w:r>
    </w:p>
    <w:p>
      <w:pPr>
        <w:pStyle w:val="ListBullet"/>
        <w:ind w:left="317" w:hanging="173"/>
      </w:pPr>
      <w:r>
        <w:t>Logging and alerting.</w:t>
      </w:r>
    </w:p>
    <w:p>
      <w:r>
        <w:t>QAISG may use trusted infrastructure and security providers to provide portions of these capabilities.</w:t>
      </w:r>
    </w:p>
    <w:p>
      <w:pPr>
        <w:pStyle w:val="Heading1"/>
      </w:pPr>
      <w:r>
        <w:t>Encryption</w:t>
      </w:r>
    </w:p>
    <w:p>
      <w:r>
        <w:t>QAISG services use encryption designed to protect information in transit and at rest.</w:t>
      </w:r>
    </w:p>
    <w:p>
      <w:r>
        <w:t>Data transmitted over public networks is protected using industry-standard transport encryption such as TLS. Sensitive credentials, tokens, integration secrets, or comparable security-sensitive information may receive additional application-level encryption or other protective controls where appropriate. Cryptographic implementations and key-management practices may vary by product and service architecture.</w:t>
      </w:r>
    </w:p>
    <w:p>
      <w:pPr>
        <w:pStyle w:val="Heading1"/>
      </w:pPr>
      <w:r>
        <w:t>Identity and access management</w:t>
      </w:r>
    </w:p>
    <w:p>
      <w:r>
        <w:t>QAISG applies access controls designed around the principle of least privilege.</w:t>
      </w:r>
    </w:p>
    <w:p>
      <w:pPr>
        <w:pStyle w:val="ListBullet"/>
        <w:ind w:left="317" w:hanging="173"/>
      </w:pPr>
      <w:r>
        <w:t>Role-based access control.</w:t>
      </w:r>
    </w:p>
    <w:p>
      <w:pPr>
        <w:pStyle w:val="ListBullet"/>
        <w:ind w:left="317" w:hanging="173"/>
      </w:pPr>
      <w:r>
        <w:t>Granular application permissions.</w:t>
      </w:r>
    </w:p>
    <w:p>
      <w:pPr>
        <w:pStyle w:val="ListBullet"/>
        <w:ind w:left="317" w:hanging="173"/>
      </w:pPr>
      <w:r>
        <w:t>Multi-factor authentication.</w:t>
      </w:r>
    </w:p>
    <w:p>
      <w:pPr>
        <w:pStyle w:val="ListBullet"/>
        <w:ind w:left="317" w:hanging="173"/>
      </w:pPr>
      <w:r>
        <w:t>Privileged-access restrictions.</w:t>
      </w:r>
    </w:p>
    <w:p>
      <w:pPr>
        <w:pStyle w:val="ListBullet"/>
        <w:ind w:left="317" w:hanging="173"/>
      </w:pPr>
      <w:r>
        <w:t>Separation of administrative and customer roles.</w:t>
      </w:r>
    </w:p>
    <w:p>
      <w:pPr>
        <w:pStyle w:val="ListBullet"/>
        <w:ind w:left="317" w:hanging="173"/>
      </w:pPr>
      <w:r>
        <w:t>Time-limited support access.</w:t>
      </w:r>
    </w:p>
    <w:p>
      <w:pPr>
        <w:pStyle w:val="ListBullet"/>
        <w:ind w:left="317" w:hanging="173"/>
      </w:pPr>
      <w:r>
        <w:t>Logging of administrative activity.</w:t>
      </w:r>
    </w:p>
    <w:p>
      <w:pPr>
        <w:pStyle w:val="ListBullet"/>
        <w:ind w:left="317" w:hanging="173"/>
      </w:pPr>
      <w:r>
        <w:t>Periodic review of access privileges.</w:t>
      </w:r>
    </w:p>
    <w:p>
      <w:r>
        <w:t>Access to production systems and customer information is restricted to authorized personnel with a legitimate business or operational need.</w:t>
      </w:r>
    </w:p>
    <w:p>
      <w:pPr>
        <w:pStyle w:val="Heading1"/>
      </w:pPr>
      <w:r>
        <w:t>Administrative and support access</w:t>
      </w:r>
    </w:p>
    <w:p>
      <w:r>
        <w:t>QAISG seeks to minimize administrative access to customer environments.</w:t>
      </w:r>
    </w:p>
    <w:p>
      <w:r>
        <w:t>Where support or operational access is required, access is limited to authorized personnel and performed according to defined procedures. Certain QAISG products provide customer-controlled or time-bounded support-access mechanisms that allow customers to authorize, monitor, and revoke QAISG administrative access. Administrative activity is logged where supported by the applicable platform architecture.</w:t>
      </w:r>
    </w:p>
    <w:p>
      <w:pPr>
        <w:pStyle w:val="Heading1"/>
      </w:pPr>
      <w:r>
        <w:t>Data minimization</w:t>
      </w:r>
    </w:p>
    <w:p>
      <w:r>
        <w:t>QAISG designs its products and services to collect and retain only the information reasonably necessary to provide their intended functionality.</w:t>
      </w:r>
    </w:p>
    <w:p>
      <w:r>
        <w:t>The type and amount of information processed varies by product. Where a QAISG platform is designed to operate primarily on metadata rather than underlying content, those limitations are documented at the product level. QAISG avoids collecting sensitive content where it is not necessary to deliver the applicable service.</w:t>
      </w:r>
    </w:p>
    <w:p>
      <w:pPr>
        <w:pStyle w:val="Heading1"/>
      </w:pPr>
      <w:r>
        <w:t>Secure software development</w:t>
      </w:r>
    </w:p>
    <w:p>
      <w:r>
        <w:t>QAISG applies security practices throughout the software-development lifecycle.</w:t>
      </w:r>
    </w:p>
    <w:p>
      <w:pPr>
        <w:pStyle w:val="ListBullet"/>
        <w:ind w:left="317" w:hanging="173"/>
      </w:pPr>
      <w:r>
        <w:t>Source-code version control.</w:t>
      </w:r>
    </w:p>
    <w:p>
      <w:pPr>
        <w:pStyle w:val="ListBullet"/>
        <w:ind w:left="317" w:hanging="173"/>
      </w:pPr>
      <w:r>
        <w:t>Peer or automated code review.</w:t>
      </w:r>
    </w:p>
    <w:p>
      <w:pPr>
        <w:pStyle w:val="ListBullet"/>
        <w:ind w:left="317" w:hanging="173"/>
      </w:pPr>
      <w:r>
        <w:t>Dependency and vulnerability monitoring.</w:t>
      </w:r>
    </w:p>
    <w:p>
      <w:pPr>
        <w:pStyle w:val="ListBullet"/>
        <w:ind w:left="317" w:hanging="173"/>
      </w:pPr>
      <w:r>
        <w:t>Secure configuration management.</w:t>
      </w:r>
    </w:p>
    <w:p>
      <w:pPr>
        <w:pStyle w:val="ListBullet"/>
        <w:ind w:left="317" w:hanging="173"/>
      </w:pPr>
      <w:r>
        <w:t>Separation of development, testing, and production environments.</w:t>
      </w:r>
    </w:p>
    <w:p>
      <w:pPr>
        <w:pStyle w:val="ListBullet"/>
        <w:ind w:left="317" w:hanging="173"/>
      </w:pPr>
      <w:r>
        <w:t>Testing prior to production deployment.</w:t>
      </w:r>
    </w:p>
    <w:p>
      <w:pPr>
        <w:pStyle w:val="ListBullet"/>
        <w:ind w:left="317" w:hanging="173"/>
      </w:pPr>
      <w:r>
        <w:t>Access restrictions for source code and deployment systems.</w:t>
      </w:r>
    </w:p>
    <w:p>
      <w:pPr>
        <w:pStyle w:val="ListBullet"/>
        <w:ind w:left="317" w:hanging="173"/>
      </w:pPr>
      <w:r>
        <w:t>Logging and monitoring of production services.</w:t>
      </w:r>
    </w:p>
    <w:p>
      <w:pPr>
        <w:pStyle w:val="ListBullet"/>
        <w:ind w:left="317" w:hanging="173"/>
      </w:pPr>
      <w:r>
        <w:t>Remediation of identified security vulnerabilities based on risk.</w:t>
      </w:r>
    </w:p>
    <w:p>
      <w:r>
        <w:t>Security practices continue to evolve as QAISG products and engineering capabilities mature.</w:t>
      </w:r>
    </w:p>
    <w:p>
      <w:pPr>
        <w:pStyle w:val="Heading1"/>
      </w:pPr>
      <w:r>
        <w:t>Vulnerability management</w:t>
      </w:r>
    </w:p>
    <w:p>
      <w:r>
        <w:t>QAISG monitors its systems, software components, and relevant third-party dependencies for security vulnerabilities.</w:t>
      </w:r>
    </w:p>
    <w:p>
      <w:r>
        <w:t>Identified vulnerabilities are evaluated based on factors including severity, exploitability, affected systems, customer exposure, and available mitigations. Remediation priorities are established according to risk. Where a significant vulnerability materially affects a customer service, QAISG will take appropriate action consistent with its contractual, legal, and security obligations.</w:t>
      </w:r>
    </w:p>
    <w:p>
      <w:pPr>
        <w:pStyle w:val="Heading1"/>
      </w:pPr>
      <w:r>
        <w:t>Logging and monitoring</w:t>
      </w:r>
    </w:p>
    <w:p>
      <w:r>
        <w:t>QAISG services use logging and monitoring appropriate to their architecture and operational requirements.</w:t>
      </w:r>
    </w:p>
    <w:p>
      <w:pPr>
        <w:pStyle w:val="ListBullet"/>
        <w:ind w:left="317" w:hanging="173"/>
      </w:pPr>
      <w:r>
        <w:t>Authentication monitoring.</w:t>
      </w:r>
    </w:p>
    <w:p>
      <w:pPr>
        <w:pStyle w:val="ListBullet"/>
        <w:ind w:left="317" w:hanging="173"/>
      </w:pPr>
      <w:r>
        <w:t>Administrative and privileged activity logging.</w:t>
      </w:r>
    </w:p>
    <w:p>
      <w:pPr>
        <w:pStyle w:val="ListBullet"/>
        <w:ind w:left="317" w:hanging="173"/>
      </w:pPr>
      <w:r>
        <w:t>Application health monitoring.</w:t>
      </w:r>
    </w:p>
    <w:p>
      <w:pPr>
        <w:pStyle w:val="ListBullet"/>
        <w:ind w:left="317" w:hanging="173"/>
      </w:pPr>
      <w:r>
        <w:t>Security-event detection.</w:t>
      </w:r>
    </w:p>
    <w:p>
      <w:pPr>
        <w:pStyle w:val="ListBullet"/>
        <w:ind w:left="317" w:hanging="173"/>
      </w:pPr>
      <w:r>
        <w:t>Error and availability monitoring.</w:t>
      </w:r>
    </w:p>
    <w:p>
      <w:pPr>
        <w:pStyle w:val="ListBullet"/>
        <w:ind w:left="317" w:hanging="173"/>
      </w:pPr>
      <w:r>
        <w:t>Audit and investigation support.</w:t>
      </w:r>
    </w:p>
    <w:p>
      <w:pPr>
        <w:pStyle w:val="ListBullet"/>
        <w:ind w:left="317" w:hanging="173"/>
      </w:pPr>
      <w:r>
        <w:t>Incident response.</w:t>
      </w:r>
    </w:p>
    <w:p>
      <w:r>
        <w:t>Logging practices are designed to balance operational and security requirements with privacy and data-minimization principles.</w:t>
      </w:r>
    </w:p>
    <w:p>
      <w:pPr>
        <w:pStyle w:val="Heading1"/>
      </w:pPr>
      <w:r>
        <w:t>Incident response</w:t>
      </w:r>
    </w:p>
    <w:p>
      <w:r>
        <w:t>QAISG maintains processes for identifying, evaluating, containing, investigating, and responding to security incidents.</w:t>
      </w:r>
    </w:p>
    <w:p>
      <w:r>
        <w:t>The response approach may include:</w:t>
      </w:r>
    </w:p>
    <w:p>
      <w:pPr>
        <w:pStyle w:val="ListNumber"/>
        <w:ind w:left="403"/>
      </w:pPr>
      <w:r>
        <w:t>Identification and triage.</w:t>
      </w:r>
    </w:p>
    <w:p>
      <w:pPr>
        <w:pStyle w:val="ListNumber"/>
        <w:ind w:left="403"/>
      </w:pPr>
      <w:r>
        <w:t>Investigation and assessment.</w:t>
      </w:r>
    </w:p>
    <w:p>
      <w:pPr>
        <w:pStyle w:val="ListNumber"/>
        <w:ind w:left="403"/>
      </w:pPr>
      <w:r>
        <w:t>Containment.</w:t>
      </w:r>
    </w:p>
    <w:p>
      <w:pPr>
        <w:pStyle w:val="ListNumber"/>
        <w:ind w:left="403"/>
      </w:pPr>
      <w:r>
        <w:t>Remediation.</w:t>
      </w:r>
    </w:p>
    <w:p>
      <w:pPr>
        <w:pStyle w:val="ListNumber"/>
        <w:ind w:left="403"/>
      </w:pPr>
      <w:r>
        <w:t>Recovery.</w:t>
      </w:r>
    </w:p>
    <w:p>
      <w:pPr>
        <w:pStyle w:val="ListNumber"/>
        <w:ind w:left="403"/>
      </w:pPr>
      <w:r>
        <w:t>Post-incident review.</w:t>
      </w:r>
    </w:p>
    <w:p>
      <w:r>
        <w:t>Where required by applicable law, contract, or regulatory obligation, affected customers will be notified of qualifying security incidents within the required timeframe.</w:t>
      </w:r>
    </w:p>
    <w:p>
      <w:pPr>
        <w:pStyle w:val="Heading1"/>
      </w:pPr>
      <w:r>
        <w:t>Business continuity and resilience</w:t>
      </w:r>
    </w:p>
    <w:p>
      <w:r>
        <w:t>QAISG designs its hosted services with resilience and recoverability appropriate to the service and associated risks.</w:t>
      </w:r>
    </w:p>
    <w:p>
      <w:r>
        <w:t>Depending on the product and underlying infrastructure, resilience measures may include:</w:t>
      </w:r>
    </w:p>
    <w:p>
      <w:pPr>
        <w:pStyle w:val="ListBullet"/>
        <w:ind w:left="317" w:hanging="173"/>
      </w:pPr>
      <w:r>
        <w:t>Managed cloud infrastructure.</w:t>
      </w:r>
    </w:p>
    <w:p>
      <w:pPr>
        <w:pStyle w:val="ListBullet"/>
        <w:ind w:left="317" w:hanging="173"/>
      </w:pPr>
      <w:r>
        <w:t>Database backups.</w:t>
      </w:r>
    </w:p>
    <w:p>
      <w:pPr>
        <w:pStyle w:val="ListBullet"/>
        <w:ind w:left="317" w:hanging="173"/>
      </w:pPr>
      <w:r>
        <w:t>Infrastructure redundancy.</w:t>
      </w:r>
    </w:p>
    <w:p>
      <w:pPr>
        <w:pStyle w:val="ListBullet"/>
        <w:ind w:left="317" w:hanging="173"/>
      </w:pPr>
      <w:r>
        <w:t>Recovery procedures.</w:t>
      </w:r>
    </w:p>
    <w:p>
      <w:pPr>
        <w:pStyle w:val="ListBullet"/>
        <w:ind w:left="317" w:hanging="173"/>
      </w:pPr>
      <w:r>
        <w:t>Monitoring and alerting.</w:t>
      </w:r>
    </w:p>
    <w:p>
      <w:pPr>
        <w:pStyle w:val="ListBullet"/>
        <w:ind w:left="317" w:hanging="173"/>
      </w:pPr>
      <w:r>
        <w:t>Configuration and deployment management.</w:t>
      </w:r>
    </w:p>
    <w:p>
      <w:pPr>
        <w:pStyle w:val="ListBullet"/>
        <w:ind w:left="317" w:hanging="173"/>
      </w:pPr>
      <w:r>
        <w:t>Documented restoration procedures.</w:t>
      </w:r>
    </w:p>
    <w:p>
      <w:r>
        <w:t>Specific recovery objectives, service levels, or continuity commitments are governed by applicable customer agreements where provided.</w:t>
      </w:r>
    </w:p>
    <w:p>
      <w:pPr>
        <w:pStyle w:val="Heading1"/>
      </w:pPr>
      <w:r>
        <w:t>Third-party risk and service providers</w:t>
      </w:r>
    </w:p>
    <w:p>
      <w:r>
        <w:t>QAISG relies on selected infrastructure, cloud, communications, security, and technology providers to operate its business and services.</w:t>
      </w:r>
    </w:p>
    <w:p>
      <w:r>
        <w:t>Providers are selected based on factors such as:</w:t>
      </w:r>
    </w:p>
    <w:p>
      <w:pPr>
        <w:pStyle w:val="ListBullet"/>
        <w:ind w:left="317" w:hanging="173"/>
      </w:pPr>
      <w:r>
        <w:t>Security capabilities.</w:t>
      </w:r>
    </w:p>
    <w:p>
      <w:pPr>
        <w:pStyle w:val="ListBullet"/>
        <w:ind w:left="317" w:hanging="173"/>
      </w:pPr>
      <w:r>
        <w:t>Service reliability.</w:t>
      </w:r>
    </w:p>
    <w:p>
      <w:pPr>
        <w:pStyle w:val="ListBullet"/>
        <w:ind w:left="317" w:hanging="173"/>
      </w:pPr>
      <w:r>
        <w:t>Privacy and data-protection practices.</w:t>
      </w:r>
    </w:p>
    <w:p>
      <w:pPr>
        <w:pStyle w:val="ListBullet"/>
        <w:ind w:left="317" w:hanging="173"/>
      </w:pPr>
      <w:r>
        <w:t>Industry certifications and assurance reports.</w:t>
      </w:r>
    </w:p>
    <w:p>
      <w:pPr>
        <w:pStyle w:val="ListBullet"/>
        <w:ind w:left="317" w:hanging="173"/>
      </w:pPr>
      <w:r>
        <w:t>Contractual safeguards.</w:t>
      </w:r>
    </w:p>
    <w:p>
      <w:pPr>
        <w:pStyle w:val="ListBullet"/>
        <w:ind w:left="317" w:hanging="173"/>
      </w:pPr>
      <w:r>
        <w:t>The nature and sensitivity of the information being processed.</w:t>
      </w:r>
    </w:p>
    <w:p>
      <w:r>
        <w:t>The providers used may vary by product. A current list of applicable sub-processors or key service providers may be made available through product documentation, contractual materials, or upon request.</w:t>
      </w:r>
    </w:p>
    <w:p>
      <w:pPr>
        <w:pStyle w:val="Heading1"/>
      </w:pPr>
      <w:r>
        <w:t>Privacy and data protection</w:t>
      </w:r>
    </w:p>
    <w:p>
      <w:r>
        <w:t>QAISG integrates privacy and security considerations into the design of its products and services.</w:t>
      </w:r>
    </w:p>
    <w:p>
      <w:r>
        <w:t>Depending on the application and customer requirements, controls may include:</w:t>
      </w:r>
    </w:p>
    <w:p>
      <w:pPr>
        <w:pStyle w:val="ListBullet"/>
        <w:ind w:left="317" w:hanging="173"/>
      </w:pPr>
      <w:r>
        <w:t>Data minimization.</w:t>
      </w:r>
    </w:p>
    <w:p>
      <w:pPr>
        <w:pStyle w:val="ListBullet"/>
        <w:ind w:left="317" w:hanging="173"/>
      </w:pPr>
      <w:r>
        <w:t>Retention controls.</w:t>
      </w:r>
    </w:p>
    <w:p>
      <w:pPr>
        <w:pStyle w:val="ListBullet"/>
        <w:ind w:left="317" w:hanging="173"/>
      </w:pPr>
      <w:r>
        <w:t>Customer-controlled configuration.</w:t>
      </w:r>
    </w:p>
    <w:p>
      <w:pPr>
        <w:pStyle w:val="ListBullet"/>
        <w:ind w:left="317" w:hanging="173"/>
      </w:pPr>
      <w:r>
        <w:t>Jurisdiction-aware privacy controls.</w:t>
      </w:r>
    </w:p>
    <w:p>
      <w:pPr>
        <w:pStyle w:val="ListBullet"/>
        <w:ind w:left="317" w:hanging="173"/>
      </w:pPr>
      <w:r>
        <w:t>Role-based restrictions.</w:t>
      </w:r>
    </w:p>
    <w:p>
      <w:pPr>
        <w:pStyle w:val="ListBullet"/>
        <w:ind w:left="317" w:hanging="173"/>
      </w:pPr>
      <w:r>
        <w:t>Auditability.</w:t>
      </w:r>
    </w:p>
    <w:p>
      <w:pPr>
        <w:pStyle w:val="ListBullet"/>
        <w:ind w:left="317" w:hanging="173"/>
      </w:pPr>
      <w:r>
        <w:t>Support for data-subject requests.</w:t>
      </w:r>
    </w:p>
    <w:p>
      <w:pPr>
        <w:pStyle w:val="ListBullet"/>
        <w:ind w:left="317" w:hanging="173"/>
      </w:pPr>
      <w:r>
        <w:t>Segregation of customer information.</w:t>
      </w:r>
    </w:p>
    <w:p>
      <w:r>
        <w:t>Additional information regarding QAISG's privacy practices is available in the QAISG Privacy Notice and applicable product-specific documentation.</w:t>
      </w:r>
    </w:p>
    <w:p>
      <w:pPr>
        <w:pStyle w:val="Heading1"/>
      </w:pPr>
      <w:r>
        <w:t>Data lifecycle and retention</w:t>
      </w:r>
    </w:p>
    <w:p>
      <w:r>
        <w:t>QAISG applies defined lifecycle practices to information processed through its services.</w:t>
      </w:r>
    </w:p>
    <w:p>
      <w:r>
        <w:t>Retention periods vary depending on:</w:t>
      </w:r>
    </w:p>
    <w:p>
      <w:pPr>
        <w:pStyle w:val="ListBullet"/>
        <w:ind w:left="317" w:hanging="173"/>
      </w:pPr>
      <w:r>
        <w:t>The applicable product.</w:t>
      </w:r>
    </w:p>
    <w:p>
      <w:pPr>
        <w:pStyle w:val="ListBullet"/>
        <w:ind w:left="317" w:hanging="173"/>
      </w:pPr>
      <w:r>
        <w:t>The type of information.</w:t>
      </w:r>
    </w:p>
    <w:p>
      <w:pPr>
        <w:pStyle w:val="ListBullet"/>
        <w:ind w:left="317" w:hanging="173"/>
      </w:pPr>
      <w:r>
        <w:t>Customer configuration.</w:t>
      </w:r>
    </w:p>
    <w:p>
      <w:pPr>
        <w:pStyle w:val="ListBullet"/>
        <w:ind w:left="317" w:hanging="173"/>
      </w:pPr>
      <w:r>
        <w:t>Contractual requirements.</w:t>
      </w:r>
    </w:p>
    <w:p>
      <w:pPr>
        <w:pStyle w:val="ListBullet"/>
        <w:ind w:left="317" w:hanging="173"/>
      </w:pPr>
      <w:r>
        <w:t>Legal or regulatory obligations.</w:t>
      </w:r>
    </w:p>
    <w:p>
      <w:pPr>
        <w:pStyle w:val="ListBullet"/>
        <w:ind w:left="317" w:hanging="173"/>
      </w:pPr>
      <w:r>
        <w:t>Security and operational requirements.</w:t>
      </w:r>
    </w:p>
    <w:p>
      <w:r>
        <w:t>Certain QAISG products have standard operational retention periods, while others may allow customer-configurable or contractual retention options.</w:t>
      </w:r>
    </w:p>
    <w:p>
      <w:r>
        <w:t>Customers may also be able to export information into their own security, logging, records-management, or archival systems.</w:t>
      </w:r>
    </w:p>
    <w:p>
      <w:r>
        <w:t>At the end of an applicable retention period or customer engagement, information is deleted or destroyed according to documented lifecycle procedures and applicable contractual requirements. Where applicable, certification of destruction may be available upon request.</w:t>
      </w:r>
    </w:p>
    <w:p>
      <w:pPr>
        <w:pStyle w:val="Heading1"/>
      </w:pPr>
      <w:r>
        <w:t>Artificial intelligence security and governance</w:t>
      </w:r>
    </w:p>
    <w:p>
      <w:r>
        <w:t>Because QAISG develops technologies related to artificial intelligence, we apply additional consideration to risks associated with AI-enabled systems.</w:t>
      </w:r>
    </w:p>
    <w:p>
      <w:r>
        <w:t>Depending on the applicable product, these considerations may include:</w:t>
      </w:r>
    </w:p>
    <w:p>
      <w:pPr>
        <w:pStyle w:val="ListBullet"/>
        <w:ind w:left="317" w:hanging="173"/>
      </w:pPr>
      <w:r>
        <w:t>Restricting unnecessary transmission of customer information to AI providers.</w:t>
      </w:r>
    </w:p>
    <w:p>
      <w:pPr>
        <w:pStyle w:val="ListBullet"/>
        <w:ind w:left="317" w:hanging="173"/>
      </w:pPr>
      <w:r>
        <w:t>Separating customer data from shared reference or intelligence datasets.</w:t>
      </w:r>
    </w:p>
    <w:p>
      <w:pPr>
        <w:pStyle w:val="ListBullet"/>
        <w:ind w:left="317" w:hanging="173"/>
      </w:pPr>
      <w:r>
        <w:t>Limiting use of sensitive content in AI-assisted workflows.</w:t>
      </w:r>
    </w:p>
    <w:p>
      <w:pPr>
        <w:pStyle w:val="ListBullet"/>
        <w:ind w:left="317" w:hanging="173"/>
      </w:pPr>
      <w:r>
        <w:t>Maintaining human review or customer oversight for material decisions.</w:t>
      </w:r>
    </w:p>
    <w:p>
      <w:pPr>
        <w:pStyle w:val="ListBullet"/>
        <w:ind w:left="317" w:hanging="173"/>
      </w:pPr>
      <w:r>
        <w:t>Monitoring AI-related dependencies and external services.</w:t>
      </w:r>
    </w:p>
    <w:p>
      <w:pPr>
        <w:pStyle w:val="ListBullet"/>
        <w:ind w:left="317" w:hanging="173"/>
      </w:pPr>
      <w:r>
        <w:t>Providing transparency regarding AI-assisted capabilities.</w:t>
      </w:r>
    </w:p>
    <w:p>
      <w:pPr>
        <w:pStyle w:val="ListBullet"/>
        <w:ind w:left="317" w:hanging="173"/>
      </w:pPr>
      <w:r>
        <w:t>Applying customer-defined governance and privacy controls.</w:t>
      </w:r>
    </w:p>
    <w:p>
      <w:r>
        <w:t>Customer information is not used to train publicly available AI models unless expressly disclosed and authorized.</w:t>
      </w:r>
    </w:p>
    <w:p>
      <w:pPr>
        <w:pStyle w:val="Heading1"/>
      </w:pPr>
      <w:r>
        <w:t>Compliance and assurance</w:t>
      </w:r>
    </w:p>
    <w:p>
      <w:r>
        <w:t>QAISG designs its security program with reference to recognized security, privacy, and AI-governance frameworks where appropriate.</w:t>
      </w:r>
    </w:p>
    <w:p>
      <w:r>
        <w:t>QAISG may also rely on infrastructure and technology providers that maintain independent certifications, assessments, or assurance reports.</w:t>
      </w:r>
    </w:p>
    <w:p>
      <w:r>
        <w:t>Certification held by a QAISG service provider does not constitute certification of QAISG itself.</w:t>
      </w:r>
    </w:p>
    <w:p>
      <w:r>
        <w:t>QAISG does not represent that it holds a particular independent certification or attestation unless that certification has been formally obtained and is current.</w:t>
      </w:r>
    </w:p>
    <w:p>
      <w:r>
        <w:t>Our assurance program will continue to evolve as the company and its services mature.</w:t>
      </w:r>
    </w:p>
    <w:p>
      <w:r>
        <w:t>Additional security, architecture, data-lifecycle, and assurance information may be made available to customers and qualified prospects under appropriate confidentiality protections.</w:t>
      </w:r>
    </w:p>
    <w:p>
      <w:pPr>
        <w:pStyle w:val="Heading1"/>
      </w:pPr>
      <w:r>
        <w:t>Customer security responsibilities</w:t>
      </w:r>
    </w:p>
    <w:p>
      <w:r>
        <w:t>Security is a shared responsibility.</w:t>
      </w:r>
    </w:p>
    <w:p>
      <w:r>
        <w:t>Customers are responsible for appropriately securing:</w:t>
      </w:r>
    </w:p>
    <w:p>
      <w:pPr>
        <w:pStyle w:val="ListBullet"/>
        <w:ind w:left="317" w:hanging="173"/>
      </w:pPr>
      <w:r>
        <w:t>Their user accounts and credentials.</w:t>
      </w:r>
    </w:p>
    <w:p>
      <w:pPr>
        <w:pStyle w:val="ListBullet"/>
        <w:ind w:left="317" w:hanging="173"/>
      </w:pPr>
      <w:r>
        <w:t>Endpoints and networks.</w:t>
      </w:r>
    </w:p>
    <w:p>
      <w:pPr>
        <w:pStyle w:val="ListBullet"/>
        <w:ind w:left="317" w:hanging="173"/>
      </w:pPr>
      <w:r>
        <w:t>Identity and access-management systems.</w:t>
      </w:r>
    </w:p>
    <w:p>
      <w:pPr>
        <w:pStyle w:val="ListBullet"/>
        <w:ind w:left="317" w:hanging="173"/>
      </w:pPr>
      <w:r>
        <w:t>Third-party integrations.</w:t>
      </w:r>
    </w:p>
    <w:p>
      <w:pPr>
        <w:pStyle w:val="ListBullet"/>
        <w:ind w:left="317" w:hanging="173"/>
      </w:pPr>
      <w:r>
        <w:t>Administrative permissions.</w:t>
      </w:r>
    </w:p>
    <w:p>
      <w:pPr>
        <w:pStyle w:val="ListBullet"/>
        <w:ind w:left="317" w:hanging="173"/>
      </w:pPr>
      <w:r>
        <w:t>Customer-controlled configurations.</w:t>
      </w:r>
    </w:p>
    <w:p>
      <w:pPr>
        <w:pStyle w:val="ListBullet"/>
        <w:ind w:left="317" w:hanging="173"/>
      </w:pPr>
      <w:r>
        <w:t>Information they provide to QAISG.</w:t>
      </w:r>
    </w:p>
    <w:p>
      <w:pPr>
        <w:pStyle w:val="ListBullet"/>
        <w:ind w:left="317" w:hanging="173"/>
      </w:pPr>
      <w:r>
        <w:t>Their use of QAISG services in accordance with applicable law and organizational policy.</w:t>
      </w:r>
    </w:p>
    <w:p>
      <w:r>
        <w:t>QAISG security controls do not replace the customer's own cybersecurity, identity, privacy, governance, or compliance responsibilities.</w:t>
      </w:r>
    </w:p>
    <w:p>
      <w:pPr>
        <w:pStyle w:val="Heading1"/>
      </w:pPr>
      <w:r>
        <w:t>Responsible vulnerability disclosure</w:t>
      </w:r>
    </w:p>
    <w:p>
      <w:r>
        <w:t>QAISG welcomes responsible disclosure of potential security vulnerabilities.</w:t>
      </w:r>
    </w:p>
    <w:p>
      <w:r>
        <w:t>If you believe you have identified a vulnerability affecting a QAISG website, product, or service, please report it to security@qaisg.com.</w:t>
      </w:r>
    </w:p>
    <w:p>
      <w:r>
        <w:t>Please include sufficient information for us to understand and reproduce the issue where reasonably possible.</w:t>
      </w:r>
    </w:p>
    <w:p>
      <w:r>
        <w:t>We ask security researchers to avoid:</w:t>
      </w:r>
    </w:p>
    <w:p>
      <w:pPr>
        <w:pStyle w:val="ListBullet"/>
        <w:ind w:left="317" w:hanging="173"/>
      </w:pPr>
      <w:r>
        <w:t>Accessing or modifying data that does not belong to them.</w:t>
      </w:r>
    </w:p>
    <w:p>
      <w:pPr>
        <w:pStyle w:val="ListBullet"/>
        <w:ind w:left="317" w:hanging="173"/>
      </w:pPr>
      <w:r>
        <w:t>Disrupting production services.</w:t>
      </w:r>
    </w:p>
    <w:p>
      <w:pPr>
        <w:pStyle w:val="ListBullet"/>
        <w:ind w:left="317" w:hanging="173"/>
      </w:pPr>
      <w:r>
        <w:t>Conducting denial-of-service testing.</w:t>
      </w:r>
    </w:p>
    <w:p>
      <w:pPr>
        <w:pStyle w:val="ListBullet"/>
        <w:ind w:left="317" w:hanging="173"/>
      </w:pPr>
      <w:r>
        <w:t>Using social engineering against QAISG personnel or customers.</w:t>
      </w:r>
    </w:p>
    <w:p>
      <w:pPr>
        <w:pStyle w:val="ListBullet"/>
        <w:ind w:left="317" w:hanging="173"/>
      </w:pPr>
      <w:r>
        <w:t>Publicly disclosing an unresolved vulnerability before QAISG has had a reasonable opportunity to investigate and address it.</w:t>
      </w:r>
    </w:p>
    <w:p>
      <w:r>
        <w:t>QAISG will review responsibly submitted reports and respond according to the nature and severity of the issue.</w:t>
      </w:r>
    </w:p>
    <w:p>
      <w:pPr>
        <w:pStyle w:val="Heading1"/>
      </w:pPr>
      <w:r>
        <w:t>Contact</w:t>
      </w:r>
    </w:p>
    <w:p>
      <w:r>
        <w:t>Quantum AI Strategy Group LLC</w:t>
        <w:br/>
        <w:t>Email: security@qaisg.com</w:t>
        <w:br/>
        <w:t>Website: qaisg.com</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2026 Quantum AI Strategy Group LLC  |  qaisg.com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6666"/>
        <w:sz w:val="16"/>
      </w:rPr>
      <w:t>QUANTUM AI STRATEGY GROUP LLC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63A5F"/>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163A5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63A5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