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Data Retention Policy</w:t>
      </w:r>
    </w:p>
    <w:p>
      <w:r>
        <w:rPr>
          <w:i/>
          <w:sz w:val="19"/>
        </w:rPr>
        <w:t>Last updated: September 30, 2026</w:t>
      </w:r>
    </w:p>
    <w:p>
      <w:pPr>
        <w:pStyle w:val="Heading1"/>
      </w:pPr>
      <w:r>
        <w:t>Purpose</w:t>
      </w:r>
    </w:p>
    <w:p>
      <w:r>
        <w:t>Quantum AI Strategy Group LLC ("QAISG," "we," "us," or "our") retains information only for as long as reasonably necessary to provide our products and services, support customer requirements, maintain security and operational records, and meet applicable legal, contractual, and regulatory obligations.</w:t>
      </w:r>
    </w:p>
    <w:p>
      <w:r>
        <w:t>This policy describes QAISG's general retention principles. Specific retention periods may vary by product, data type, customer agreement, and applicable legal requirements.</w:t>
      </w:r>
    </w:p>
    <w:p>
      <w:pPr>
        <w:pStyle w:val="Heading1"/>
      </w:pPr>
      <w:r>
        <w:t>Retention principles</w:t>
      </w:r>
    </w:p>
    <w:p>
      <w:pPr>
        <w:pStyle w:val="ListBullet"/>
      </w:pPr>
      <w:r>
        <w:t>Information is retained only for a defined business, operational, security, contractual, or legal purpose.</w:t>
      </w:r>
    </w:p>
    <w:p>
      <w:pPr>
        <w:pStyle w:val="ListBullet"/>
      </w:pPr>
      <w:r>
        <w:t>Retention periods are proportionate to the nature and sensitivity of the information.</w:t>
      </w:r>
    </w:p>
    <w:p>
      <w:pPr>
        <w:pStyle w:val="ListBullet"/>
      </w:pPr>
      <w:r>
        <w:t>Customer data is not retained indefinitely without an identified purpose.</w:t>
      </w:r>
    </w:p>
    <w:p>
      <w:pPr>
        <w:pStyle w:val="ListBullet"/>
      </w:pPr>
      <w:r>
        <w:t>Operational data may be retained for defined periods to support dashboards, investigations, reporting, governance, security, and service operation.</w:t>
      </w:r>
    </w:p>
    <w:p>
      <w:pPr>
        <w:pStyle w:val="ListBullet"/>
      </w:pPr>
      <w:r>
        <w:t>Longer retention may be provided where required by contract, customer configuration, legal obligation, or enterprise service requirements.</w:t>
      </w:r>
    </w:p>
    <w:p>
      <w:pPr>
        <w:pStyle w:val="ListBullet"/>
      </w:pPr>
      <w:r>
        <w:t>Customers may export applicable information to their own SIEM, logging, archival, records-management, or governance systems for retention under their own policies.</w:t>
      </w:r>
    </w:p>
    <w:p>
      <w:pPr>
        <w:pStyle w:val="ListBullet"/>
      </w:pPr>
      <w:r>
        <w:t>Information is deleted, anonymized, or destroyed when it is no longer required, subject to applicable legal holds or other obligations.</w:t>
      </w:r>
    </w:p>
    <w:p>
      <w:pPr>
        <w:pStyle w:val="Heading1"/>
      </w:pPr>
      <w:r>
        <w:t>Product-specific retention</w:t>
      </w:r>
    </w:p>
    <w:p>
      <w:r>
        <w:t>Retention periods vary by QAISG product and the type of information processed.</w:t>
      </w:r>
    </w:p>
    <w:p>
      <w:r>
        <w:t>Certain products use defined operational retention windows for telemetry, activity records, reporting, audit information, and related service data.</w:t>
      </w:r>
    </w:p>
    <w:p>
      <w:r>
        <w:t>Where a product has a specific standard retention period, that period is documented in the applicable product documentation, customer agreement, or service configuration.</w:t>
      </w:r>
    </w:p>
    <w:p>
      <w:r>
        <w:t>Customer-specific retention requirements may also be addressed through an order form, statement of work, master agreement, or other written agreement.</w:t>
      </w:r>
    </w:p>
    <w:p>
      <w:pPr>
        <w:pStyle w:val="Heading1"/>
      </w:pPr>
      <w:r>
        <w:t>Account and administrative information</w:t>
      </w:r>
    </w:p>
    <w:p>
      <w:r>
        <w:t>Account, authentication, administrative, billing, support, and business records may be retained for as long as necessary to maintain the customer relationship, provide support, protect the security of QAISG systems, meet accounting or legal requirements, and resolve disputes.</w:t>
      </w:r>
    </w:p>
    <w:p>
      <w:r>
        <w:t>After an account or customer relationship ends, QAISG may retain limited records where necessary for legitimate business, security, contractual, or legal purposes.</w:t>
      </w:r>
    </w:p>
    <w:p>
      <w:pPr>
        <w:pStyle w:val="Heading1"/>
      </w:pPr>
      <w:r>
        <w:t>Security and audit records</w:t>
      </w:r>
    </w:p>
    <w:p>
      <w:r>
        <w:t>Security, administrative, and audit records may be retained separately from ordinary operational data where longer retention is appropriate for:</w:t>
      </w:r>
    </w:p>
    <w:p>
      <w:pPr>
        <w:pStyle w:val="ListBullet"/>
      </w:pPr>
      <w:r>
        <w:t>Security investigations.</w:t>
      </w:r>
    </w:p>
    <w:p>
      <w:pPr>
        <w:pStyle w:val="ListBullet"/>
      </w:pPr>
      <w:r>
        <w:t>Incident response.</w:t>
      </w:r>
    </w:p>
    <w:p>
      <w:pPr>
        <w:pStyle w:val="ListBullet"/>
      </w:pPr>
      <w:r>
        <w:t>Compliance and audit support.</w:t>
      </w:r>
    </w:p>
    <w:p>
      <w:pPr>
        <w:pStyle w:val="ListBullet"/>
      </w:pPr>
      <w:r>
        <w:t>Fraud or abuse prevention.</w:t>
      </w:r>
    </w:p>
    <w:p>
      <w:pPr>
        <w:pStyle w:val="ListBullet"/>
      </w:pPr>
      <w:r>
        <w:t>Legal or contractual requirements.</w:t>
      </w:r>
    </w:p>
    <w:p>
      <w:pPr>
        <w:pStyle w:val="ListBullet"/>
      </w:pPr>
      <w:r>
        <w:t>Protection of QAISG, its customers, or its services.</w:t>
      </w:r>
    </w:p>
    <w:p>
      <w:r>
        <w:t>Retention of these records is limited to what is reasonably necessary for those purposes.</w:t>
      </w:r>
    </w:p>
    <w:p>
      <w:pPr>
        <w:pStyle w:val="Heading1"/>
      </w:pPr>
      <w:r>
        <w:t>End of engagement</w:t>
      </w:r>
    </w:p>
    <w:p>
      <w:r>
        <w:t>When a subscription, pilot, or other customer engagement ends, customer information is handled in accordance with the applicable agreement, product documentation, and QAISG's data-lifecycle procedures.</w:t>
      </w:r>
    </w:p>
    <w:p>
      <w:r>
        <w:t>Data that is no longer required is deleted or destroyed according to documented processes.</w:t>
      </w:r>
    </w:p>
    <w:p>
      <w:r>
        <w:t>Where applicable and contractually supported, a certificate of destruction may be provided upon request.</w:t>
      </w:r>
    </w:p>
    <w:p>
      <w:pPr>
        <w:pStyle w:val="Heading1"/>
      </w:pPr>
      <w:r>
        <w:t>Legal holds and required retention</w:t>
      </w:r>
    </w:p>
    <w:p>
      <w:r>
        <w:t>QAISG may retain information beyond a standard retention period where required by law, regulation, legal process, contractual obligation, litigation hold, security investigation, or other legitimate requirement.</w:t>
      </w:r>
    </w:p>
    <w:p>
      <w:r>
        <w:t>When such a requirement ends, the information will return to the applicable lifecycle and deletion process.</w:t>
      </w:r>
    </w:p>
    <w:p>
      <w:pPr>
        <w:pStyle w:val="Heading1"/>
      </w:pPr>
      <w:r>
        <w:t>Related documentation</w:t>
      </w:r>
    </w:p>
    <w:p>
      <w:r>
        <w:t>Additional information regarding QAISG's data-handling practices is available in the:</w:t>
      </w:r>
    </w:p>
    <w:p>
      <w:pPr>
        <w:pStyle w:val="ListBullet"/>
      </w:pPr>
      <w:r>
        <w:t>QAISG Privacy Notice.</w:t>
      </w:r>
    </w:p>
    <w:p>
      <w:pPr>
        <w:pStyle w:val="ListBullet"/>
      </w:pPr>
      <w:r>
        <w:t>QAISG Security Overview.</w:t>
      </w:r>
    </w:p>
    <w:p>
      <w:pPr>
        <w:pStyle w:val="ListBullet"/>
      </w:pPr>
      <w:r>
        <w:t>Applicable product documentation and customer agreements.</w:t>
      </w:r>
    </w:p>
    <w:p>
      <w:pPr>
        <w:pStyle w:val="Heading1"/>
      </w:pPr>
      <w:r>
        <w:t>Contact</w:t>
      </w:r>
    </w:p>
    <w:p>
      <w:r>
        <w:t>Questions regarding QAISG data-retention practices may be directed to:</w:t>
      </w:r>
    </w:p>
    <w:p>
      <w:r>
        <w:t>Quantum AI Strategy Group LLC</w:t>
        <w:br/>
        <w:t>Email: privacy@qaisg.com</w:t>
        <w:br/>
        <w:t>Website: qaisg.com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Quantum AI Strategy Group LLC | qaisg.com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